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90"/>
      </w:pPr>
      <w:r>
        <w:rPr/>
        <w:t>PARTICIPANTES</w:t>
      </w:r>
      <w:r>
        <w:rPr>
          <w:spacing w:val="30"/>
        </w:rPr>
        <w:t> </w:t>
      </w:r>
      <w:r>
        <w:rPr/>
        <w:t>–</w:t>
      </w:r>
      <w:r>
        <w:rPr>
          <w:spacing w:val="18"/>
        </w:rPr>
        <w:t> </w:t>
      </w:r>
      <w:r>
        <w:rPr>
          <w:spacing w:val="-2"/>
        </w:rPr>
        <w:t>GOVERNO: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78" w:lineRule="auto"/>
        <w:ind w:right="703"/>
      </w:pPr>
      <w:r>
        <w:rPr/>
        <w:t>Rebeca Rodrigues (Secretaria Municipal de Direitos Humanos e Cidadania</w:t>
      </w:r>
      <w:r>
        <w:rPr>
          <w:spacing w:val="28"/>
        </w:rPr>
        <w:t> </w:t>
      </w:r>
      <w:r>
        <w:rPr/>
        <w:t>– SMDHC); Maicon Faria (Secretaria Municipal de Direitos Humanos e Cidadania</w:t>
      </w:r>
      <w:r>
        <w:rPr>
          <w:spacing w:val="40"/>
        </w:rPr>
        <w:t> </w:t>
      </w:r>
      <w:r>
        <w:rPr/>
        <w:t>– SMDHC);</w:t>
      </w:r>
      <w:r>
        <w:rPr>
          <w:spacing w:val="40"/>
        </w:rPr>
        <w:t> </w:t>
      </w:r>
      <w:r>
        <w:rPr/>
        <w:t>Kaliel Nunes (Secretaria Municipal de Direitos Humanos e Cidadania</w:t>
      </w:r>
      <w:r>
        <w:rPr>
          <w:spacing w:val="40"/>
        </w:rPr>
        <w:t> </w:t>
      </w:r>
      <w:r>
        <w:rPr/>
        <w:t>– SMDHC);</w:t>
      </w:r>
      <w:r>
        <w:rPr>
          <w:spacing w:val="40"/>
        </w:rPr>
        <w:t> </w:t>
      </w:r>
      <w:r>
        <w:rPr/>
        <w:t>Maiza Castro (Secretaria Municipal de Direitos Humanos e Cidadania</w:t>
      </w:r>
      <w:r>
        <w:rPr>
          <w:spacing w:val="40"/>
        </w:rPr>
        <w:t> </w:t>
      </w:r>
      <w:r>
        <w:rPr/>
        <w:t>– SMDHC).</w:t>
      </w:r>
    </w:p>
    <w:p>
      <w:pPr>
        <w:pStyle w:val="Heading1"/>
        <w:spacing w:before="232"/>
      </w:pPr>
      <w:r>
        <w:rPr/>
        <w:t>PARTICIPANTES</w:t>
      </w:r>
      <w:r>
        <w:rPr>
          <w:spacing w:val="28"/>
        </w:rPr>
        <w:t> </w:t>
      </w:r>
      <w:r>
        <w:rPr/>
        <w:t>–</w:t>
      </w:r>
      <w:r>
        <w:rPr>
          <w:spacing w:val="18"/>
        </w:rPr>
        <w:t> </w:t>
      </w:r>
      <w:r>
        <w:rPr/>
        <w:t>SOCIEDADE</w:t>
      </w:r>
      <w:r>
        <w:rPr>
          <w:spacing w:val="21"/>
        </w:rPr>
        <w:t> </w:t>
      </w:r>
      <w:r>
        <w:rPr>
          <w:spacing w:val="-2"/>
        </w:rPr>
        <w:t>CIVIL:</w:t>
      </w:r>
    </w:p>
    <w:p>
      <w:pPr>
        <w:pStyle w:val="BodyText"/>
        <w:spacing w:line="271" w:lineRule="auto" w:before="218"/>
        <w:ind w:right="4959"/>
      </w:pPr>
      <w:r>
        <w:rPr/>
        <w:t>Ideraldo Luiz (participação remota); Marco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(participação remota).</w:t>
      </w:r>
    </w:p>
    <w:p>
      <w:pPr>
        <w:pStyle w:val="Heading1"/>
        <w:spacing w:before="253"/>
      </w:pPr>
      <w:r>
        <w:rPr/>
        <w:t>APOIO</w:t>
      </w:r>
      <w:r>
        <w:rPr>
          <w:spacing w:val="16"/>
        </w:rPr>
        <w:t> </w:t>
      </w:r>
      <w:r>
        <w:rPr>
          <w:spacing w:val="-2"/>
        </w:rPr>
        <w:t>TÉCNICO:</w:t>
      </w:r>
    </w:p>
    <w:p>
      <w:pPr>
        <w:pStyle w:val="BodyText"/>
        <w:ind w:left="0"/>
        <w:rPr>
          <w:b/>
        </w:rPr>
      </w:pPr>
    </w:p>
    <w:p>
      <w:pPr>
        <w:pStyle w:val="BodyText"/>
      </w:pPr>
      <w:r>
        <w:rPr/>
        <w:t>Ligia</w:t>
      </w:r>
      <w:r>
        <w:rPr>
          <w:spacing w:val="11"/>
        </w:rPr>
        <w:t> </w:t>
      </w:r>
      <w:r>
        <w:rPr/>
        <w:t>Maria</w:t>
      </w:r>
      <w:r>
        <w:rPr>
          <w:spacing w:val="13"/>
        </w:rPr>
        <w:t> </w:t>
      </w:r>
      <w:r>
        <w:rPr/>
        <w:t>(Secretaria</w:t>
      </w:r>
      <w:r>
        <w:rPr>
          <w:spacing w:val="13"/>
        </w:rPr>
        <w:t> </w:t>
      </w:r>
      <w:r>
        <w:rPr/>
        <w:t>Municipal</w:t>
      </w:r>
      <w:r>
        <w:rPr>
          <w:spacing w:val="13"/>
        </w:rPr>
        <w:t> </w:t>
      </w:r>
      <w:r>
        <w:rPr/>
        <w:t>de</w:t>
      </w:r>
      <w:r>
        <w:rPr>
          <w:spacing w:val="9"/>
        </w:rPr>
        <w:t> </w:t>
      </w:r>
      <w:r>
        <w:rPr/>
        <w:t>Direitos</w:t>
      </w:r>
      <w:r>
        <w:rPr>
          <w:spacing w:val="4"/>
        </w:rPr>
        <w:t> </w:t>
      </w:r>
      <w:r>
        <w:rPr/>
        <w:t>Humanos</w:t>
      </w:r>
      <w:r>
        <w:rPr>
          <w:spacing w:val="4"/>
        </w:rPr>
        <w:t> </w:t>
      </w:r>
      <w:r>
        <w:rPr/>
        <w:t>e</w:t>
      </w:r>
      <w:r>
        <w:rPr>
          <w:spacing w:val="9"/>
        </w:rPr>
        <w:t> </w:t>
      </w:r>
      <w:r>
        <w:rPr/>
        <w:t>Cidadania</w:t>
      </w:r>
      <w:r>
        <w:rPr>
          <w:spacing w:val="31"/>
        </w:rPr>
        <w:t> </w:t>
      </w:r>
      <w:r>
        <w:rPr/>
        <w:t>–</w:t>
      </w:r>
      <w:r>
        <w:rPr>
          <w:spacing w:val="9"/>
        </w:rPr>
        <w:t> </w:t>
      </w:r>
      <w:r>
        <w:rPr>
          <w:spacing w:val="-2"/>
        </w:rPr>
        <w:t>SMDHC).</w:t>
      </w:r>
    </w:p>
    <w:p>
      <w:pPr>
        <w:pStyle w:val="BodyText"/>
        <w:spacing w:line="273" w:lineRule="auto" w:before="292"/>
        <w:ind w:right="68"/>
      </w:pPr>
      <w:r>
        <w:rPr/>
        <w:t>A reunião da Comissão Eleitoral do Conselho Municipal de Políticas LGBT+ foi realizada às 10h no dia 15 de junho de 2026, em formato híbrido, com participação presencial</w:t>
      </w:r>
      <w:r>
        <w:rPr>
          <w:spacing w:val="35"/>
        </w:rPr>
        <w:t> </w:t>
      </w:r>
      <w:r>
        <w:rPr/>
        <w:t>na sede da Secretaria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Direitos</w:t>
      </w:r>
      <w:r>
        <w:rPr>
          <w:spacing w:val="-13"/>
        </w:rPr>
        <w:t> </w:t>
      </w:r>
      <w:r>
        <w:rPr/>
        <w:t>Humanos e</w:t>
      </w:r>
      <w:r>
        <w:rPr>
          <w:spacing w:val="-9"/>
        </w:rPr>
        <w:t> </w:t>
      </w:r>
      <w:r>
        <w:rPr/>
        <w:t>Cidadania</w:t>
      </w:r>
      <w:r>
        <w:rPr>
          <w:spacing w:val="-5"/>
        </w:rPr>
        <w:t> </w:t>
      </w:r>
      <w:r>
        <w:rPr/>
        <w:t>(SMDHC),</w:t>
      </w:r>
      <w:r>
        <w:rPr>
          <w:spacing w:val="-10"/>
        </w:rPr>
        <w:t> </w:t>
      </w:r>
      <w:r>
        <w:rPr/>
        <w:t>localizada na Rua Líbero Badaró, nº 119, Centro, São Paulo/SP e remota.</w:t>
      </w:r>
    </w:p>
    <w:p>
      <w:pPr>
        <w:pStyle w:val="BodyText"/>
        <w:spacing w:line="271" w:lineRule="auto" w:before="196"/>
      </w:pPr>
      <w:r>
        <w:rPr/>
        <w:t>Após a verificação do quórum mínimo necessário, assegurado pela presença de dois representantes da sociedade</w:t>
      </w:r>
      <w:r>
        <w:rPr>
          <w:spacing w:val="-2"/>
        </w:rPr>
        <w:t> </w:t>
      </w:r>
      <w:r>
        <w:rPr/>
        <w:t>civil,</w:t>
      </w:r>
      <w:r>
        <w:rPr>
          <w:spacing w:val="-3"/>
        </w:rPr>
        <w:t> </w:t>
      </w:r>
      <w:r>
        <w:rPr/>
        <w:t>Rebeca Rodrigues</w:t>
      </w:r>
      <w:r>
        <w:rPr>
          <w:spacing w:val="-6"/>
        </w:rPr>
        <w:t> </w:t>
      </w:r>
      <w:r>
        <w:rPr/>
        <w:t>iniciou</w:t>
      </w:r>
      <w:r>
        <w:rPr>
          <w:spacing w:val="-8"/>
        </w:rPr>
        <w:t> </w:t>
      </w:r>
      <w:r>
        <w:rPr/>
        <w:t>os</w:t>
      </w:r>
      <w:r>
        <w:rPr>
          <w:spacing w:val="-6"/>
        </w:rPr>
        <w:t> </w:t>
      </w:r>
      <w:r>
        <w:rPr/>
        <w:t>trabalhos</w:t>
      </w:r>
      <w:r>
        <w:rPr>
          <w:spacing w:val="-7"/>
        </w:rPr>
        <w:t> </w:t>
      </w:r>
      <w:r>
        <w:rPr/>
        <w:t>saudando</w:t>
      </w:r>
      <w:r>
        <w:rPr>
          <w:spacing w:val="-9"/>
        </w:rPr>
        <w:t> </w:t>
      </w:r>
      <w:r>
        <w:rPr/>
        <w:t>os </w:t>
      </w:r>
      <w:r>
        <w:rPr>
          <w:spacing w:val="-2"/>
        </w:rPr>
        <w:t>presentes.</w:t>
      </w:r>
    </w:p>
    <w:p>
      <w:pPr>
        <w:pStyle w:val="BodyText"/>
        <w:spacing w:before="163"/>
      </w:pPr>
      <w:r>
        <w:rPr/>
        <w:t>Na</w:t>
      </w:r>
      <w:r>
        <w:rPr>
          <w:spacing w:val="-5"/>
        </w:rPr>
        <w:t> </w:t>
      </w:r>
      <w:r>
        <w:rPr/>
        <w:t>sequência,</w:t>
      </w:r>
      <w:r>
        <w:rPr>
          <w:spacing w:val="-7"/>
        </w:rPr>
        <w:t> </w:t>
      </w:r>
      <w:r>
        <w:rPr/>
        <w:t>foram</w:t>
      </w:r>
      <w:r>
        <w:rPr>
          <w:spacing w:val="-4"/>
        </w:rPr>
        <w:t> </w:t>
      </w:r>
      <w:r>
        <w:rPr/>
        <w:t>discutidos</w:t>
      </w:r>
      <w:r>
        <w:rPr>
          <w:spacing w:val="-10"/>
        </w:rPr>
        <w:t> </w:t>
      </w:r>
      <w:r>
        <w:rPr/>
        <w:t>os</w:t>
      </w:r>
      <w:r>
        <w:rPr>
          <w:spacing w:val="-11"/>
        </w:rPr>
        <w:t> </w:t>
      </w:r>
      <w:r>
        <w:rPr/>
        <w:t>seguintes</w:t>
      </w:r>
      <w:r>
        <w:rPr>
          <w:spacing w:val="3"/>
        </w:rPr>
        <w:t> </w:t>
      </w:r>
      <w:r>
        <w:rPr/>
        <w:t>pontos</w:t>
      </w:r>
      <w:r>
        <w:rPr>
          <w:spacing w:val="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pauta:</w:t>
      </w:r>
    </w:p>
    <w:p>
      <w:pPr>
        <w:pStyle w:val="Heading2"/>
        <w:spacing w:before="217"/>
      </w:pPr>
      <w:r>
        <w:rPr/>
        <w:t>Aprovação</w:t>
      </w:r>
      <w:r>
        <w:rPr>
          <w:spacing w:val="29"/>
        </w:rPr>
        <w:t> </w:t>
      </w:r>
      <w:r>
        <w:rPr/>
        <w:t>do</w:t>
      </w:r>
      <w:r>
        <w:rPr>
          <w:spacing w:val="30"/>
        </w:rPr>
        <w:t> </w:t>
      </w:r>
      <w:r>
        <w:rPr/>
        <w:t>Edital</w:t>
      </w:r>
      <w:r>
        <w:rPr>
          <w:spacing w:val="23"/>
        </w:rPr>
        <w:t> </w:t>
      </w:r>
      <w:r>
        <w:rPr/>
        <w:t>e</w:t>
      </w:r>
      <w:r>
        <w:rPr>
          <w:spacing w:val="21"/>
        </w:rPr>
        <w:t> </w:t>
      </w:r>
      <w:r>
        <w:rPr/>
        <w:t>Cronograma</w:t>
      </w:r>
      <w:r>
        <w:rPr>
          <w:spacing w:val="25"/>
        </w:rPr>
        <w:t> </w:t>
      </w:r>
      <w:r>
        <w:rPr>
          <w:spacing w:val="-2"/>
        </w:rPr>
        <w:t>Eleitoral</w:t>
      </w:r>
    </w:p>
    <w:p>
      <w:pPr>
        <w:pStyle w:val="BodyText"/>
        <w:spacing w:line="278" w:lineRule="auto" w:before="218"/>
        <w:ind w:right="60"/>
      </w:pPr>
      <w:r>
        <w:rPr/>
        <w:t>A comissão deliberou sobre a minuta do Edital, abrangendo os artigos 1º ao 18º, e o respectivo Cronograma Eleitoral. Os representantes da sociedade civil, Ideraldo Luiz e</w:t>
      </w:r>
      <w:r>
        <w:rPr>
          <w:spacing w:val="80"/>
        </w:rPr>
        <w:t> </w:t>
      </w:r>
      <w:r>
        <w:rPr/>
        <w:t>Marco</w:t>
      </w:r>
      <w:r>
        <w:rPr>
          <w:spacing w:val="-5"/>
        </w:rPr>
        <w:t> </w:t>
      </w:r>
      <w:r>
        <w:rPr/>
        <w:t>Antonio, confirmaram a leitura prévia dos</w:t>
      </w:r>
      <w:r>
        <w:rPr>
          <w:spacing w:val="-2"/>
        </w:rPr>
        <w:t> </w:t>
      </w:r>
      <w:r>
        <w:rPr/>
        <w:t>documentos, não</w:t>
      </w:r>
      <w:r>
        <w:rPr>
          <w:spacing w:val="-5"/>
        </w:rPr>
        <w:t> </w:t>
      </w:r>
      <w:r>
        <w:rPr/>
        <w:t>apresentaram sugestões de alteração e manifestaram concordância. Dessa forma, o Edital e o Cronograma foram aprovados por unanimidade pelos presentes, com o</w:t>
      </w:r>
      <w:r>
        <w:rPr>
          <w:spacing w:val="-2"/>
        </w:rPr>
        <w:t> </w:t>
      </w:r>
      <w:r>
        <w:rPr/>
        <w:t>devido</w:t>
      </w:r>
      <w:r>
        <w:rPr>
          <w:spacing w:val="-2"/>
        </w:rPr>
        <w:t> </w:t>
      </w:r>
      <w:r>
        <w:rPr/>
        <w:t>quórum. Foi destacado por Maicon</w:t>
      </w:r>
      <w:r>
        <w:rPr>
          <w:spacing w:val="-14"/>
        </w:rPr>
        <w:t> </w:t>
      </w:r>
      <w:r>
        <w:rPr/>
        <w:t>que o</w:t>
      </w:r>
      <w:r>
        <w:rPr>
          <w:spacing w:val="-4"/>
        </w:rPr>
        <w:t> </w:t>
      </w:r>
      <w:r>
        <w:rPr/>
        <w:t>cronograma</w:t>
      </w:r>
      <w:r>
        <w:rPr>
          <w:spacing w:val="-7"/>
        </w:rPr>
        <w:t> </w:t>
      </w:r>
      <w:r>
        <w:rPr/>
        <w:t>foi ajustado</w:t>
      </w:r>
      <w:r>
        <w:rPr>
          <w:spacing w:val="-4"/>
        </w:rPr>
        <w:t> </w:t>
      </w:r>
      <w:r>
        <w:rPr/>
        <w:t>para incluir de forma explícita o</w:t>
      </w:r>
      <w:r>
        <w:rPr>
          <w:spacing w:val="-4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de inscrição para</w:t>
      </w:r>
      <w:r>
        <w:rPr>
          <w:spacing w:val="-7"/>
        </w:rPr>
        <w:t> </w:t>
      </w:r>
      <w:r>
        <w:rPr/>
        <w:t>órgãos</w:t>
      </w:r>
      <w:r>
        <w:rPr>
          <w:spacing w:val="-14"/>
        </w:rPr>
        <w:t> </w:t>
      </w:r>
      <w:r>
        <w:rPr/>
        <w:t>de classe com</w:t>
      </w:r>
      <w:r>
        <w:rPr>
          <w:spacing w:val="-7"/>
        </w:rPr>
        <w:t> </w:t>
      </w:r>
      <w:r>
        <w:rPr/>
        <w:t>personalidade jurídica,</w:t>
      </w:r>
      <w:r>
        <w:rPr>
          <w:spacing w:val="-11"/>
        </w:rPr>
        <w:t> </w:t>
      </w:r>
      <w:r>
        <w:rPr/>
        <w:t>garantindo</w:t>
      </w:r>
      <w:r>
        <w:rPr>
          <w:spacing w:val="-4"/>
        </w:rPr>
        <w:t> </w:t>
      </w:r>
      <w:r>
        <w:rPr/>
        <w:t>maior visibilidade a essa etapa do processo.</w:t>
      </w:r>
    </w:p>
    <w:p>
      <w:pPr>
        <w:pStyle w:val="Heading2"/>
        <w:spacing w:before="149"/>
      </w:pPr>
      <w:r>
        <w:rPr/>
        <w:t>Transparência</w:t>
      </w:r>
      <w:r>
        <w:rPr>
          <w:spacing w:val="25"/>
        </w:rPr>
        <w:t> </w:t>
      </w:r>
      <w:r>
        <w:rPr/>
        <w:t>e</w:t>
      </w:r>
      <w:r>
        <w:rPr>
          <w:spacing w:val="23"/>
        </w:rPr>
        <w:t> </w:t>
      </w:r>
      <w:r>
        <w:rPr/>
        <w:t>Comunicação</w:t>
      </w:r>
      <w:r>
        <w:rPr>
          <w:spacing w:val="32"/>
        </w:rPr>
        <w:t> </w:t>
      </w:r>
      <w:r>
        <w:rPr>
          <w:spacing w:val="-2"/>
        </w:rPr>
        <w:t>Oficial</w:t>
      </w:r>
    </w:p>
    <w:p>
      <w:pPr>
        <w:pStyle w:val="BodyText"/>
        <w:spacing w:line="273" w:lineRule="auto" w:before="232"/>
        <w:ind w:right="68"/>
      </w:pPr>
      <w:r>
        <w:rPr/>
        <w:t>Rebeca informou que o e-mail da comissão já está ativo, ressaltou que o canal de comunicação</w:t>
      </w:r>
      <w:r>
        <w:rPr>
          <w:spacing w:val="-6"/>
        </w:rPr>
        <w:t> </w:t>
      </w:r>
      <w:r>
        <w:rPr/>
        <w:t>será divulgado</w:t>
      </w:r>
      <w:r>
        <w:rPr>
          <w:spacing w:val="-6"/>
        </w:rPr>
        <w:t> </w:t>
      </w:r>
      <w:r>
        <w:rPr/>
        <w:t>publicamente junto</w:t>
      </w:r>
      <w:r>
        <w:rPr>
          <w:spacing w:val="-6"/>
        </w:rPr>
        <w:t> </w:t>
      </w:r>
      <w:r>
        <w:rPr/>
        <w:t>com o</w:t>
      </w:r>
      <w:r>
        <w:rPr>
          <w:spacing w:val="-6"/>
        </w:rPr>
        <w:t> </w:t>
      </w:r>
      <w:r>
        <w:rPr/>
        <w:t>edital, servindo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a principal ferramenta de transparência para sanar dúvidas de candidatos e eleitores ao longo do </w:t>
      </w:r>
      <w:r>
        <w:rPr>
          <w:spacing w:val="-2"/>
        </w:rPr>
        <w:t>pleito.</w:t>
      </w:r>
    </w:p>
    <w:p>
      <w:pPr>
        <w:pStyle w:val="BodyText"/>
        <w:spacing w:after="0" w:line="273" w:lineRule="auto"/>
        <w:sectPr>
          <w:headerReference w:type="default" r:id="rId5"/>
          <w:type w:val="continuous"/>
          <w:pgSz w:w="11910" w:h="16850"/>
          <w:pgMar w:header="1438" w:footer="0" w:top="1840" w:bottom="280" w:left="1417" w:right="1417"/>
          <w:pgNumType w:start="1"/>
        </w:sectPr>
      </w:pPr>
    </w:p>
    <w:p>
      <w:pPr>
        <w:pStyle w:val="BodyText"/>
        <w:spacing w:line="276" w:lineRule="auto" w:before="105"/>
        <w:ind w:right="81"/>
      </w:pPr>
      <w:r>
        <w:rPr/>
        <w:t>Ficou acordado que dois pontos</w:t>
      </w:r>
      <w:r>
        <w:rPr>
          <w:spacing w:val="40"/>
        </w:rPr>
        <w:t> </w:t>
      </w:r>
      <w:r>
        <w:rPr/>
        <w:t>específicos do edital, referentes à população imigrante e aos critérios de desempate/vagas para pessoas "mais jovens e mais idosas", serão encaminhados</w:t>
      </w:r>
      <w:r>
        <w:rPr>
          <w:spacing w:val="-2"/>
        </w:rPr>
        <w:t> </w:t>
      </w:r>
      <w:r>
        <w:rPr/>
        <w:t>para a análise e adequação</w:t>
      </w:r>
      <w:r>
        <w:rPr>
          <w:spacing w:val="-4"/>
        </w:rPr>
        <w:t> </w:t>
      </w:r>
      <w:r>
        <w:rPr/>
        <w:t>de redação</w:t>
      </w:r>
      <w:r>
        <w:rPr>
          <w:spacing w:val="-4"/>
        </w:rPr>
        <w:t> </w:t>
      </w:r>
      <w:r>
        <w:rPr/>
        <w:t>por parte da Assessoria Jurídica (AJ). A comissão estabeleceu que aguardará o retorno da AJ até o dia 18 para, caso não haja necessidade de novas alterações, proceder com a publicação do Edital no dia 19.</w:t>
      </w:r>
    </w:p>
    <w:p>
      <w:pPr>
        <w:pStyle w:val="Heading2"/>
        <w:spacing w:before="177"/>
      </w:pPr>
      <w:r>
        <w:rPr/>
        <w:t>Locais</w:t>
      </w:r>
      <w:r>
        <w:rPr>
          <w:spacing w:val="8"/>
        </w:rPr>
        <w:t> </w:t>
      </w:r>
      <w:r>
        <w:rPr/>
        <w:t>de</w:t>
      </w:r>
      <w:r>
        <w:rPr>
          <w:spacing w:val="14"/>
        </w:rPr>
        <w:t> </w:t>
      </w:r>
      <w:r>
        <w:rPr>
          <w:spacing w:val="-2"/>
        </w:rPr>
        <w:t>Votação</w:t>
      </w:r>
    </w:p>
    <w:p>
      <w:pPr>
        <w:pStyle w:val="BodyText"/>
        <w:spacing w:line="273" w:lineRule="auto" w:before="217"/>
      </w:pPr>
      <w:r>
        <w:rPr/>
        <w:t>Foi ratificado que as eleições ocorrerão nos Centros de Referência</w:t>
      </w:r>
      <w:r>
        <w:rPr>
          <w:spacing w:val="40"/>
        </w:rPr>
        <w:t> </w:t>
      </w:r>
      <w:r>
        <w:rPr/>
        <w:t>LGBTI+. Como encaminhamento,</w:t>
      </w:r>
      <w:r>
        <w:rPr>
          <w:spacing w:val="-6"/>
        </w:rPr>
        <w:t> </w:t>
      </w:r>
      <w:r>
        <w:rPr/>
        <w:t>Rebeca</w:t>
      </w:r>
      <w:r>
        <w:rPr>
          <w:spacing w:val="-2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conduzirá</w:t>
      </w:r>
      <w:r>
        <w:rPr>
          <w:spacing w:val="-2"/>
        </w:rPr>
        <w:t> </w:t>
      </w:r>
      <w:r>
        <w:rPr/>
        <w:t>uma</w:t>
      </w:r>
      <w:r>
        <w:rPr>
          <w:spacing w:val="-2"/>
        </w:rPr>
        <w:t> </w:t>
      </w:r>
      <w:r>
        <w:rPr/>
        <w:t>reunião</w:t>
      </w:r>
      <w:r>
        <w:rPr>
          <w:spacing w:val="-12"/>
        </w:rPr>
        <w:t> </w:t>
      </w:r>
      <w:r>
        <w:rPr/>
        <w:t>com</w:t>
      </w:r>
      <w:r>
        <w:rPr>
          <w:spacing w:val="-3"/>
        </w:rPr>
        <w:t> </w:t>
      </w:r>
      <w:r>
        <w:rPr/>
        <w:t>os</w:t>
      </w:r>
      <w:r>
        <w:rPr>
          <w:spacing w:val="-9"/>
        </w:rPr>
        <w:t> </w:t>
      </w:r>
      <w:r>
        <w:rPr/>
        <w:t>coordenadores</w:t>
      </w:r>
      <w:r>
        <w:rPr>
          <w:spacing w:val="-9"/>
        </w:rPr>
        <w:t> </w:t>
      </w:r>
      <w:r>
        <w:rPr/>
        <w:t>destes equipamentos para alinhar a logística do pleito. A participação nesta reunião logística foi franqueada aos demais integrantes da comissão que tiverem disponibilidade.</w:t>
      </w:r>
    </w:p>
    <w:p>
      <w:pPr>
        <w:pStyle w:val="Heading2"/>
        <w:spacing w:before="166"/>
      </w:pPr>
      <w:r>
        <w:rPr>
          <w:spacing w:val="-2"/>
        </w:rPr>
        <w:t>Encerramento</w:t>
      </w:r>
    </w:p>
    <w:p>
      <w:pPr>
        <w:pStyle w:val="BodyText"/>
        <w:spacing w:line="271" w:lineRule="auto" w:before="232"/>
      </w:pPr>
      <w:r>
        <w:rPr/>
        <w:t>Os</w:t>
      </w:r>
      <w:r>
        <w:rPr>
          <w:spacing w:val="-14"/>
        </w:rPr>
        <w:t> </w:t>
      </w:r>
      <w:r>
        <w:rPr/>
        <w:t>membros da comissão</w:t>
      </w:r>
      <w:r>
        <w:rPr>
          <w:spacing w:val="-3"/>
        </w:rPr>
        <w:t> </w:t>
      </w:r>
      <w:r>
        <w:rPr/>
        <w:t>destacaram</w:t>
      </w:r>
      <w:r>
        <w:rPr>
          <w:spacing w:val="-7"/>
        </w:rPr>
        <w:t> </w:t>
      </w:r>
      <w:r>
        <w:rPr/>
        <w:t>o</w:t>
      </w:r>
      <w:r>
        <w:rPr>
          <w:spacing w:val="-3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minucioso</w:t>
      </w:r>
      <w:r>
        <w:rPr>
          <w:spacing w:val="-3"/>
        </w:rPr>
        <w:t> </w:t>
      </w:r>
      <w:r>
        <w:rPr/>
        <w:t>e o</w:t>
      </w:r>
      <w:r>
        <w:rPr>
          <w:spacing w:val="-3"/>
        </w:rPr>
        <w:t> </w:t>
      </w:r>
      <w:r>
        <w:rPr/>
        <w:t>rigor</w:t>
      </w:r>
      <w:r>
        <w:rPr>
          <w:spacing w:val="-5"/>
        </w:rPr>
        <w:t> </w:t>
      </w:r>
      <w:r>
        <w:rPr/>
        <w:t>técnico</w:t>
      </w:r>
      <w:r>
        <w:rPr>
          <w:spacing w:val="-3"/>
        </w:rPr>
        <w:t> </w:t>
      </w:r>
      <w:r>
        <w:rPr/>
        <w:t>empregados na elaboração do edital, visando mitigar os problemas ocorridos em eleições anteriores e garantir maior clareza na redação e nos processos.</w:t>
      </w:r>
    </w:p>
    <w:p>
      <w:pPr>
        <w:pStyle w:val="BodyText"/>
        <w:spacing w:line="259" w:lineRule="auto" w:before="193"/>
        <w:ind w:right="47"/>
      </w:pPr>
      <w:r>
        <w:rPr/>
        <w:t>Nada mais</w:t>
      </w:r>
      <w:r>
        <w:rPr>
          <w:spacing w:val="-3"/>
        </w:rPr>
        <w:t> </w:t>
      </w:r>
      <w:r>
        <w:rPr/>
        <w:t>havendo</w:t>
      </w:r>
      <w:r>
        <w:rPr>
          <w:spacing w:val="-6"/>
        </w:rPr>
        <w:t> </w:t>
      </w:r>
      <w:r>
        <w:rPr/>
        <w:t>a tratar, a reunião</w:t>
      </w:r>
      <w:r>
        <w:rPr>
          <w:spacing w:val="-6"/>
        </w:rPr>
        <w:t> </w:t>
      </w:r>
      <w:r>
        <w:rPr/>
        <w:t>foi encerrada, ficando</w:t>
      </w:r>
      <w:r>
        <w:rPr>
          <w:spacing w:val="-6"/>
        </w:rPr>
        <w:t> </w:t>
      </w:r>
      <w:r>
        <w:rPr/>
        <w:t>estabelecido</w:t>
      </w:r>
      <w:r>
        <w:rPr>
          <w:spacing w:val="-6"/>
        </w:rPr>
        <w:t> </w:t>
      </w:r>
      <w:r>
        <w:rPr/>
        <w:t>que a presente ata será encaminhada aos participantes por e-mail.</w:t>
      </w:r>
    </w:p>
    <w:p>
      <w:pPr>
        <w:pStyle w:val="Heading2"/>
        <w:spacing w:before="283"/>
      </w:pPr>
      <w:r>
        <w:rPr>
          <w:spacing w:val="-2"/>
        </w:rPr>
        <w:t>Encaminhamentos:</w:t>
      </w:r>
    </w:p>
    <w:p>
      <w:pPr>
        <w:pStyle w:val="BodyText"/>
        <w:spacing w:before="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0" w:after="0"/>
        <w:ind w:left="745" w:right="0" w:hanging="360"/>
        <w:jc w:val="left"/>
        <w:rPr>
          <w:sz w:val="24"/>
        </w:rPr>
      </w:pPr>
      <w:r>
        <w:rPr>
          <w:sz w:val="24"/>
        </w:rPr>
        <w:t>Envio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6"/>
          <w:sz w:val="24"/>
        </w:rPr>
        <w:t> </w:t>
      </w:r>
      <w:r>
        <w:rPr>
          <w:sz w:val="24"/>
        </w:rPr>
        <w:t>Ata</w:t>
      </w:r>
      <w:r>
        <w:rPr>
          <w:spacing w:val="10"/>
          <w:sz w:val="24"/>
        </w:rPr>
        <w:t> </w:t>
      </w:r>
      <w:r>
        <w:rPr>
          <w:sz w:val="24"/>
        </w:rPr>
        <w:t>por</w:t>
      </w:r>
      <w:r>
        <w:rPr>
          <w:spacing w:val="7"/>
          <w:sz w:val="24"/>
        </w:rPr>
        <w:t> </w:t>
      </w:r>
      <w:r>
        <w:rPr>
          <w:sz w:val="24"/>
        </w:rPr>
        <w:t>e-mail</w:t>
      </w:r>
      <w:r>
        <w:rPr>
          <w:spacing w:val="8"/>
          <w:sz w:val="24"/>
        </w:rPr>
        <w:t> </w:t>
      </w:r>
      <w:r>
        <w:rPr>
          <w:sz w:val="24"/>
        </w:rPr>
        <w:t>até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dia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16/06;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80" w:lineRule="auto" w:before="39" w:after="0"/>
        <w:ind w:left="745" w:right="697" w:hanging="360"/>
        <w:jc w:val="left"/>
        <w:rPr>
          <w:sz w:val="24"/>
        </w:rPr>
      </w:pPr>
      <w:r>
        <w:rPr>
          <w:sz w:val="24"/>
        </w:rPr>
        <w:t>Publicação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Edital e do</w:t>
      </w:r>
      <w:r>
        <w:rPr>
          <w:spacing w:val="-5"/>
          <w:sz w:val="24"/>
        </w:rPr>
        <w:t> </w:t>
      </w:r>
      <w:r>
        <w:rPr>
          <w:sz w:val="24"/>
        </w:rPr>
        <w:t>Cronograma prevista para o</w:t>
      </w:r>
      <w:r>
        <w:rPr>
          <w:spacing w:val="-5"/>
          <w:sz w:val="24"/>
        </w:rPr>
        <w:t> </w:t>
      </w:r>
      <w:r>
        <w:rPr>
          <w:sz w:val="24"/>
        </w:rPr>
        <w:t>dia 19, condicionada ao retorno favorável da Assessoria Jurídica até o dia 18;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7" w:after="0"/>
        <w:ind w:left="745" w:right="0" w:hanging="360"/>
        <w:jc w:val="left"/>
        <w:rPr>
          <w:sz w:val="24"/>
        </w:rPr>
      </w:pPr>
      <w:r>
        <w:rPr>
          <w:sz w:val="24"/>
        </w:rPr>
        <w:t>Formulação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novo</w:t>
      </w:r>
      <w:r>
        <w:rPr>
          <w:spacing w:val="10"/>
          <w:sz w:val="24"/>
        </w:rPr>
        <w:t> </w:t>
      </w:r>
      <w:r>
        <w:rPr>
          <w:sz w:val="24"/>
        </w:rPr>
        <w:t>calendário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reunião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comissão.</w:t>
      </w:r>
    </w:p>
    <w:sectPr>
      <w:headerReference w:type="default" r:id="rId6"/>
      <w:pgSz w:w="11910" w:h="16850"/>
      <w:pgMar w:header="1438" w:footer="0" w:top="18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902969</wp:posOffset>
              </wp:positionH>
              <wp:positionV relativeFrom="page">
                <wp:posOffset>900483</wp:posOffset>
              </wp:positionV>
              <wp:extent cx="2908935" cy="21145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0893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ATA</w:t>
                          </w:r>
                          <w:r>
                            <w:rPr>
                              <w:b/>
                              <w:spacing w:val="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REUNIÃO</w:t>
                          </w:r>
                          <w:r>
                            <w:rPr>
                              <w:b/>
                              <w:spacing w:val="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ELEITORAL</w:t>
                          </w:r>
                          <w:r>
                            <w:rPr>
                              <w:b/>
                              <w:spacing w:val="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N°5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99998pt;margin-top:70.904221pt;width:229.05pt;height:16.650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ATA</w:t>
                    </w:r>
                    <w:r>
                      <w:rPr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REUNIÃO</w:t>
                    </w:r>
                    <w:r>
                      <w:rPr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ELEITORAL</w:t>
                    </w:r>
                    <w:r>
                      <w:rPr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t>N°5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902969</wp:posOffset>
              </wp:positionH>
              <wp:positionV relativeFrom="page">
                <wp:posOffset>900483</wp:posOffset>
              </wp:positionV>
              <wp:extent cx="2450465" cy="21145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5046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Apreciação</w:t>
                          </w:r>
                          <w:r>
                            <w:rPr>
                              <w:b/>
                              <w:spacing w:val="1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Assessoria</w:t>
                          </w:r>
                          <w:r>
                            <w:rPr>
                              <w:b/>
                              <w:spacing w:val="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Jurídica</w:t>
                          </w:r>
                          <w:r>
                            <w:rPr>
                              <w:b/>
                              <w:spacing w:val="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(AJ)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99998pt;margin-top:70.904221pt;width:192.95pt;height:16.650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Apreciação</w:t>
                    </w:r>
                    <w:r>
                      <w:rPr>
                        <w:b/>
                        <w:spacing w:val="1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Assessoria</w:t>
                    </w:r>
                    <w:r>
                      <w:rPr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Jurídica</w:t>
                    </w:r>
                    <w:r>
                      <w:rPr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(AJ)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5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5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25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45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2026-06-17T20:13:34Z</dcterms:created>
  <dcterms:modified xsi:type="dcterms:W3CDTF">2026-06-17T20:13:34Z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2026-06-15T00:00:00Z</vt:filetime>
  </property>
</Properties>
</file>